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B0EA">
      <w:pPr>
        <w:keepNext w:val="0"/>
        <w:keepLines w:val="0"/>
        <w:pageBreakBefore w:val="0"/>
        <w:widowControl/>
        <w:suppressLineNumbers w:val="0"/>
        <w:kinsoku/>
        <w:wordWrap/>
        <w:overflowPunct/>
        <w:topLinePunct w:val="0"/>
        <w:autoSpaceDE/>
        <w:autoSpaceDN/>
        <w:bidi w:val="0"/>
        <w:spacing w:line="560" w:lineRule="exact"/>
        <w:jc w:val="center"/>
        <w:textAlignment w:val="auto"/>
        <w:outlineLvl w:val="9"/>
      </w:pPr>
      <w:r>
        <w:rPr>
          <w:rFonts w:ascii="方正小标宋_GBK" w:hAnsi="方正小标宋_GBK" w:eastAsia="方正小标宋_GBK" w:cs="方正小标宋_GBK"/>
          <w:color w:val="000000"/>
          <w:kern w:val="0"/>
          <w:sz w:val="43"/>
          <w:szCs w:val="43"/>
          <w:lang w:val="en-US" w:eastAsia="zh-CN" w:bidi="ar"/>
        </w:rPr>
        <w:t>重庆科学城融资担保有限公司</w:t>
      </w:r>
    </w:p>
    <w:p w14:paraId="5CEDF063">
      <w:pPr>
        <w:keepNext w:val="0"/>
        <w:keepLines w:val="0"/>
        <w:pageBreakBefore w:val="0"/>
        <w:kinsoku/>
        <w:wordWrap/>
        <w:overflowPunct/>
        <w:topLinePunct w:val="0"/>
        <w:autoSpaceDE/>
        <w:autoSpaceDN/>
        <w:bidi w:val="0"/>
        <w:spacing w:line="560" w:lineRule="exact"/>
        <w:jc w:val="center"/>
        <w:textAlignment w:val="auto"/>
        <w:outlineLvl w:val="9"/>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互联网专线租用采购项目竞争性比选文件</w:t>
      </w:r>
    </w:p>
    <w:p w14:paraId="4DC0EAB3">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p>
    <w:p w14:paraId="5215C2F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因公司生产经营需要，现需采购互联网专线租用服务。在此，诚邀符合资格条件的供应商参与报价，现将有关事项通告如下：</w:t>
      </w:r>
    </w:p>
    <w:p w14:paraId="069D558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kern w:val="0"/>
          <w:sz w:val="32"/>
          <w:szCs w:val="32"/>
          <w:lang w:val="en-US" w:eastAsia="zh-CN" w:bidi="ar"/>
        </w:rPr>
        <w:t xml:space="preserve">一、采购需求 </w:t>
      </w:r>
    </w:p>
    <w:p w14:paraId="694FCFFF">
      <w:pPr>
        <w:keepNext w:val="0"/>
        <w:keepLines w:val="0"/>
        <w:widowControl w:val="0"/>
        <w:suppressLineNumbers w:val="0"/>
        <w:autoSpaceDE w:val="0"/>
        <w:autoSpaceDN/>
        <w:spacing w:before="0" w:beforeAutospacing="0" w:after="0" w:afterAutospacing="0" w:line="560" w:lineRule="exact"/>
        <w:ind w:left="0" w:right="0" w:rightChars="0" w:firstLine="640" w:firstLineChars="200"/>
        <w:jc w:val="both"/>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kern w:val="2"/>
          <w:sz w:val="32"/>
          <w:szCs w:val="32"/>
          <w:lang w:val="en-US" w:eastAsia="zh-CN" w:bidi="ar"/>
        </w:rPr>
        <w:t>租用1条互联网专线，带宽110M，用于办公、APP应用软件等。</w:t>
      </w:r>
    </w:p>
    <w:tbl>
      <w:tblPr>
        <w:tblStyle w:val="9"/>
        <w:tblpPr w:leftFromText="180" w:rightFromText="180" w:vertAnchor="text" w:horzAnchor="page" w:tblpX="1811" w:tblpY="560"/>
        <w:tblOverlap w:val="never"/>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90"/>
        <w:gridCol w:w="5823"/>
        <w:gridCol w:w="1848"/>
      </w:tblGrid>
      <w:tr w14:paraId="789C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trPr>
        <w:tc>
          <w:tcPr>
            <w:tcW w:w="1390" w:type="dxa"/>
            <w:vAlign w:val="center"/>
          </w:tcPr>
          <w:p w14:paraId="2A4CB265">
            <w:pPr>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序号</w:t>
            </w:r>
          </w:p>
        </w:tc>
        <w:tc>
          <w:tcPr>
            <w:tcW w:w="5823" w:type="dxa"/>
            <w:vAlign w:val="center"/>
          </w:tcPr>
          <w:p w14:paraId="589AB035">
            <w:pPr>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eastAsia="zh-CN"/>
              </w:rPr>
              <w:t>项目</w:t>
            </w:r>
          </w:p>
        </w:tc>
        <w:tc>
          <w:tcPr>
            <w:tcW w:w="1848" w:type="dxa"/>
            <w:vAlign w:val="center"/>
          </w:tcPr>
          <w:p w14:paraId="25B6F05C">
            <w:pPr>
              <w:pageBreakBefore w:val="0"/>
              <w:kinsoku/>
              <w:wordWrap/>
              <w:overflowPunct/>
              <w:topLinePunct w:val="0"/>
              <w:autoSpaceDE/>
              <w:autoSpaceDN/>
              <w:bidi w:val="0"/>
              <w:adjustRightIn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最高限价</w:t>
            </w:r>
          </w:p>
        </w:tc>
      </w:tr>
      <w:tr w14:paraId="07E1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1390" w:type="dxa"/>
            <w:vAlign w:val="center"/>
          </w:tcPr>
          <w:p w14:paraId="3CE2E6A3">
            <w:pPr>
              <w:pageBreakBefore w:val="0"/>
              <w:kinsoku/>
              <w:wordWrap/>
              <w:overflowPunct/>
              <w:topLinePunct w:val="0"/>
              <w:autoSpaceDE/>
              <w:autoSpaceDN/>
              <w:bidi w:val="0"/>
              <w:adjustRightIn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p>
        </w:tc>
        <w:tc>
          <w:tcPr>
            <w:tcW w:w="5823" w:type="dxa"/>
            <w:vAlign w:val="center"/>
          </w:tcPr>
          <w:p w14:paraId="628D4A9A">
            <w:pPr>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互联网专线租用</w:t>
            </w:r>
          </w:p>
        </w:tc>
        <w:tc>
          <w:tcPr>
            <w:tcW w:w="1848" w:type="dxa"/>
            <w:vAlign w:val="center"/>
          </w:tcPr>
          <w:p w14:paraId="3CD5988B">
            <w:pPr>
              <w:pageBreakBefore w:val="0"/>
              <w:kinsoku/>
              <w:wordWrap/>
              <w:overflowPunct/>
              <w:topLinePunct w:val="0"/>
              <w:autoSpaceDE/>
              <w:autoSpaceDN/>
              <w:bidi w:val="0"/>
              <w:adjustRightIn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52800元/年</w:t>
            </w:r>
          </w:p>
        </w:tc>
      </w:tr>
    </w:tbl>
    <w:p w14:paraId="0C5629A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ascii="方正仿宋_GBK" w:hAnsi="方正仿宋_GBK" w:eastAsia="方正仿宋_GBK" w:cs="方正仿宋_GBK"/>
          <w:sz w:val="32"/>
          <w:szCs w:val="32"/>
          <w:lang w:val="en-US" w:eastAsia="zh-CN"/>
        </w:rPr>
      </w:pPr>
      <w:r>
        <w:rPr>
          <w:rFonts w:hint="eastAsia" w:ascii="方正黑体_GBK" w:hAnsi="方正黑体_GBK" w:eastAsia="方正黑体_GBK" w:cs="方正黑体_GBK"/>
          <w:color w:val="000000"/>
          <w:kern w:val="0"/>
          <w:sz w:val="32"/>
          <w:szCs w:val="32"/>
          <w:lang w:val="en-US" w:eastAsia="zh-CN" w:bidi="ar"/>
        </w:rPr>
        <w:t xml:space="preserve">二、采购预算（限价） </w:t>
      </w:r>
    </w:p>
    <w:p w14:paraId="07BD9995">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textAlignment w:val="auto"/>
        <w:outlineLvl w:val="9"/>
        <w:rPr>
          <w:rFonts w:hint="default"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color w:val="000000"/>
          <w:kern w:val="0"/>
          <w:sz w:val="32"/>
          <w:szCs w:val="32"/>
          <w:lang w:val="en-US" w:eastAsia="zh-CN" w:bidi="ar"/>
        </w:rPr>
        <w:t>三、</w:t>
      </w:r>
      <w:r>
        <w:rPr>
          <w:rFonts w:hint="eastAsia" w:ascii="方正黑体_GBK" w:hAnsi="方正黑体_GBK" w:eastAsia="方正黑体_GBK" w:cs="方正黑体_GBK"/>
          <w:bCs/>
          <w:sz w:val="32"/>
          <w:szCs w:val="32"/>
          <w:lang w:val="en-US" w:eastAsia="zh-CN"/>
        </w:rPr>
        <w:t>采购期限</w:t>
      </w:r>
    </w:p>
    <w:p w14:paraId="6CC5B89D">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一年，到期后公司认定满意，即可续签，最多续签两年。</w:t>
      </w:r>
    </w:p>
    <w:p w14:paraId="4414C300">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四、供应商资格要求 </w:t>
      </w:r>
    </w:p>
    <w:p w14:paraId="381B065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000000"/>
          <w:kern w:val="0"/>
          <w:sz w:val="32"/>
          <w:szCs w:val="32"/>
          <w:lang w:val="en-US" w:eastAsia="zh-CN" w:bidi="ar"/>
        </w:rPr>
        <w:t>具备独立承担民事责任的能力；</w:t>
      </w:r>
    </w:p>
    <w:p w14:paraId="7767B65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2.具有良好的商业信誉和健全的财务会计制度；</w:t>
      </w:r>
    </w:p>
    <w:p w14:paraId="08488EA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3.具有履行合同所必须的设备和专业技术能力；</w:t>
      </w:r>
    </w:p>
    <w:p w14:paraId="3F3E091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4.具有依法缴纳税收和社会保障资金的良好记录；</w:t>
      </w:r>
    </w:p>
    <w:p w14:paraId="593DDC0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5.参加本项目前三年内，在经营活动中没有重大违法记录；</w:t>
      </w:r>
    </w:p>
    <w:p w14:paraId="1DD5694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6.法律、行政法规规定的其他条件。</w:t>
      </w:r>
    </w:p>
    <w:p w14:paraId="08B80791">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五、报价截止时间 </w:t>
      </w:r>
    </w:p>
    <w:p w14:paraId="628441E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2025年7月25日17：30前</w:t>
      </w:r>
    </w:p>
    <w:p w14:paraId="4B5AB87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地点：重庆市沙坪坝区西永大道36号附4号育成加速器5楼。可邮寄或电子邮件（zonghe@cqkxcdb.com），电子邮件投标需自行对投标文件设密码，并于2025年7月28日上午10：00告知我方。</w:t>
      </w:r>
      <w:bookmarkStart w:id="1" w:name="_GoBack"/>
      <w:bookmarkEnd w:id="1"/>
    </w:p>
    <w:p w14:paraId="5514FF05">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六、报价资料内容 </w:t>
      </w:r>
    </w:p>
    <w:p w14:paraId="2B3CCEBF">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方正仿宋_GBK" w:eastAsia="方正仿宋_GBK"/>
          <w:sz w:val="32"/>
          <w:szCs w:val="32"/>
        </w:rPr>
      </w:pPr>
      <w:r>
        <w:rPr>
          <w:rFonts w:hint="eastAsia" w:ascii="方正仿宋_GBK" w:eastAsia="方正仿宋_GBK"/>
          <w:sz w:val="32"/>
          <w:szCs w:val="32"/>
        </w:rPr>
        <w:t>报价人提交的报价文件由以下部分和报价人所作的一切有效补充、修改和承诺等文件组成。它包括</w:t>
      </w:r>
      <w:r>
        <w:rPr>
          <w:rFonts w:hint="eastAsia" w:ascii="方正仿宋_GBK" w:eastAsia="方正仿宋_GBK"/>
          <w:sz w:val="32"/>
          <w:szCs w:val="32"/>
          <w:lang w:val="en-US" w:eastAsia="zh-CN"/>
        </w:rPr>
        <w:t>但不限于</w:t>
      </w:r>
      <w:r>
        <w:rPr>
          <w:rFonts w:hint="eastAsia" w:ascii="方正仿宋_GBK" w:eastAsia="方正仿宋_GBK"/>
          <w:sz w:val="32"/>
          <w:szCs w:val="32"/>
        </w:rPr>
        <w:t>：</w:t>
      </w:r>
    </w:p>
    <w:p w14:paraId="3868E6FF">
      <w:pPr>
        <w:keepNext w:val="0"/>
        <w:keepLines w:val="0"/>
        <w:pageBreakBefore w:val="0"/>
        <w:kinsoku/>
        <w:wordWrap/>
        <w:overflowPunct/>
        <w:topLinePunct w:val="0"/>
        <w:autoSpaceDE/>
        <w:autoSpaceDN/>
        <w:bidi w:val="0"/>
        <w:spacing w:line="560" w:lineRule="exact"/>
        <w:ind w:left="638" w:leftChars="304" w:firstLine="0" w:firstLineChars="0"/>
        <w:textAlignment w:val="auto"/>
        <w:outlineLvl w:val="9"/>
        <w:rPr>
          <w:rFonts w:ascii="方正仿宋_GBK" w:eastAsia="方正仿宋_GBK"/>
          <w:sz w:val="32"/>
          <w:szCs w:val="32"/>
        </w:rPr>
      </w:pPr>
      <w:r>
        <w:rPr>
          <w:rFonts w:hint="eastAsia" w:ascii="方正仿宋_GBK" w:eastAsia="方正仿宋_GBK"/>
          <w:sz w:val="32"/>
          <w:szCs w:val="32"/>
        </w:rPr>
        <w:t>1.报价函（附件</w:t>
      </w:r>
      <w:r>
        <w:rPr>
          <w:rFonts w:hint="eastAsia" w:ascii="方正仿宋_GBK" w:eastAsia="方正仿宋_GBK"/>
          <w:sz w:val="32"/>
          <w:szCs w:val="32"/>
          <w:lang w:val="en-US" w:eastAsia="zh-CN"/>
        </w:rPr>
        <w:t>1</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2</w:t>
      </w:r>
      <w:r>
        <w:rPr>
          <w:rFonts w:hint="eastAsia" w:ascii="方正仿宋_GBK" w:eastAsia="方正仿宋_GBK"/>
          <w:sz w:val="32"/>
          <w:szCs w:val="32"/>
        </w:rPr>
        <w:t>.法定代表人身份证明（附件</w:t>
      </w:r>
      <w:r>
        <w:rPr>
          <w:rFonts w:hint="eastAsia" w:ascii="方正仿宋_GBK" w:eastAsia="方正仿宋_GBK"/>
          <w:sz w:val="32"/>
          <w:szCs w:val="32"/>
          <w:lang w:val="en-US" w:eastAsia="zh-CN"/>
        </w:rPr>
        <w:t>2</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3</w:t>
      </w:r>
      <w:r>
        <w:rPr>
          <w:rFonts w:hint="eastAsia" w:ascii="方正仿宋_GBK" w:eastAsia="方正仿宋_GBK"/>
          <w:sz w:val="32"/>
          <w:szCs w:val="32"/>
        </w:rPr>
        <w:t>.法定代表人授权委托书（附件</w:t>
      </w:r>
      <w:r>
        <w:rPr>
          <w:rFonts w:hint="eastAsia" w:ascii="方正仿宋_GBK" w:eastAsia="方正仿宋_GBK"/>
          <w:sz w:val="32"/>
          <w:szCs w:val="32"/>
          <w:lang w:val="en-US" w:eastAsia="zh-CN"/>
        </w:rPr>
        <w:t>3</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4</w:t>
      </w:r>
      <w:r>
        <w:rPr>
          <w:rFonts w:hint="eastAsia" w:ascii="方正仿宋_GBK" w:eastAsia="方正仿宋_GBK"/>
          <w:sz w:val="32"/>
          <w:szCs w:val="32"/>
        </w:rPr>
        <w:t>.诚信声明（附件</w:t>
      </w:r>
      <w:r>
        <w:rPr>
          <w:rFonts w:hint="eastAsia" w:ascii="方正仿宋_GBK" w:eastAsia="方正仿宋_GBK"/>
          <w:sz w:val="32"/>
          <w:szCs w:val="32"/>
          <w:lang w:val="en-US" w:eastAsia="zh-CN"/>
        </w:rPr>
        <w:t>4</w:t>
      </w:r>
      <w:r>
        <w:rPr>
          <w:rFonts w:hint="eastAsia" w:ascii="方正仿宋_GBK" w:eastAsia="方正仿宋_GBK"/>
          <w:sz w:val="32"/>
          <w:szCs w:val="32"/>
        </w:rPr>
        <w:t>）；</w:t>
      </w:r>
    </w:p>
    <w:p w14:paraId="1C9807F9">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lang w:val="en-US" w:eastAsia="zh-CN"/>
        </w:rPr>
        <w:t>5</w:t>
      </w:r>
      <w:r>
        <w:rPr>
          <w:rFonts w:hint="eastAsia" w:ascii="方正仿宋_GBK" w:eastAsia="方正仿宋_GBK"/>
          <w:sz w:val="32"/>
          <w:szCs w:val="32"/>
        </w:rPr>
        <w:t>.</w:t>
      </w:r>
      <w:r>
        <w:rPr>
          <w:rFonts w:hint="eastAsia" w:ascii="方正仿宋_GBK" w:eastAsia="方正仿宋_GBK"/>
          <w:sz w:val="32"/>
          <w:szCs w:val="32"/>
          <w:lang w:val="en-US" w:eastAsia="zh-CN"/>
        </w:rPr>
        <w:t>相关</w:t>
      </w:r>
      <w:r>
        <w:rPr>
          <w:rFonts w:hint="eastAsia" w:ascii="方正仿宋_GBK" w:eastAsia="方正仿宋_GBK"/>
          <w:sz w:val="32"/>
          <w:szCs w:val="32"/>
        </w:rPr>
        <w:t>资质</w:t>
      </w:r>
      <w:r>
        <w:rPr>
          <w:rFonts w:hint="eastAsia" w:ascii="方正仿宋_GBK" w:eastAsia="方正仿宋_GBK"/>
          <w:sz w:val="32"/>
          <w:szCs w:val="32"/>
          <w:lang w:val="en-US" w:eastAsia="zh-CN"/>
        </w:rPr>
        <w:t>证明</w:t>
      </w:r>
      <w:r>
        <w:rPr>
          <w:rFonts w:hint="eastAsia" w:ascii="方正仿宋_GBK" w:eastAsia="方正仿宋_GBK"/>
          <w:sz w:val="32"/>
          <w:szCs w:val="32"/>
        </w:rPr>
        <w:t>文件；</w:t>
      </w:r>
    </w:p>
    <w:p w14:paraId="193FFB68">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方正仿宋_GBK" w:eastAsia="方正仿宋_GBK"/>
          <w:sz w:val="32"/>
          <w:szCs w:val="32"/>
          <w:lang w:val="en-US" w:eastAsia="zh-CN"/>
        </w:rPr>
      </w:pPr>
      <w:r>
        <w:rPr>
          <w:rFonts w:hint="eastAsia" w:ascii="方正仿宋_GBK" w:eastAsia="方正仿宋_GBK"/>
          <w:sz w:val="32"/>
          <w:szCs w:val="32"/>
          <w:lang w:val="en-US" w:eastAsia="zh-CN"/>
        </w:rPr>
        <w:t>6</w:t>
      </w:r>
      <w:r>
        <w:rPr>
          <w:rFonts w:hint="eastAsia" w:ascii="方正仿宋_GBK" w:eastAsia="方正仿宋_GBK"/>
          <w:sz w:val="32"/>
          <w:szCs w:val="32"/>
        </w:rPr>
        <w:t>.</w:t>
      </w:r>
      <w:r>
        <w:rPr>
          <w:rFonts w:hint="eastAsia" w:ascii="方正仿宋_GBK" w:eastAsia="方正仿宋_GBK"/>
          <w:sz w:val="32"/>
          <w:szCs w:val="32"/>
          <w:lang w:val="en-US" w:eastAsia="zh-CN"/>
        </w:rPr>
        <w:t>类似规模案例/合同；</w:t>
      </w:r>
    </w:p>
    <w:p w14:paraId="16A32CD0">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lang w:val="en-US" w:eastAsia="zh-CN"/>
        </w:rPr>
        <w:t>7.</w:t>
      </w:r>
      <w:r>
        <w:rPr>
          <w:rFonts w:hint="eastAsia" w:ascii="方正仿宋_GBK" w:eastAsia="方正仿宋_GBK"/>
          <w:sz w:val="32"/>
          <w:szCs w:val="32"/>
        </w:rPr>
        <w:t>报价人简介；</w:t>
      </w:r>
    </w:p>
    <w:p w14:paraId="431A2FE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sz w:val="32"/>
          <w:szCs w:val="32"/>
        </w:rPr>
      </w:pPr>
      <w:r>
        <w:rPr>
          <w:rFonts w:hint="eastAsia" w:ascii="方正仿宋_GBK" w:eastAsia="方正仿宋_GBK"/>
          <w:sz w:val="32"/>
          <w:szCs w:val="32"/>
          <w:lang w:val="en-US" w:eastAsia="zh-CN"/>
        </w:rPr>
        <w:t>8.</w:t>
      </w:r>
      <w:r>
        <w:rPr>
          <w:rFonts w:hint="eastAsia" w:ascii="方正仿宋_GBK" w:eastAsia="方正仿宋_GBK"/>
          <w:sz w:val="32"/>
          <w:szCs w:val="32"/>
        </w:rPr>
        <w:t>有效的营业执照复印件</w:t>
      </w:r>
      <w:r>
        <w:rPr>
          <w:rFonts w:hint="eastAsia" w:ascii="方正仿宋_GBK" w:eastAsia="方正仿宋_GBK"/>
          <w:sz w:val="32"/>
          <w:szCs w:val="32"/>
          <w:lang w:eastAsia="zh-CN"/>
        </w:rPr>
        <w:t>；</w:t>
      </w:r>
      <w:r>
        <w:rPr>
          <w:rFonts w:hint="eastAsia" w:ascii="方正仿宋_GBK" w:hAnsi="方正仿宋_GBK" w:eastAsia="方正仿宋_GBK" w:cs="方正仿宋_GBK"/>
          <w:color w:val="000000"/>
          <w:kern w:val="0"/>
          <w:sz w:val="32"/>
          <w:szCs w:val="32"/>
          <w:lang w:val="en-US" w:eastAsia="zh-CN" w:bidi="ar"/>
        </w:rPr>
        <w:t xml:space="preserve"> </w:t>
      </w:r>
    </w:p>
    <w:p w14:paraId="2C413C8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9.应对售后服务等商务条款做出明确承诺。</w:t>
      </w:r>
    </w:p>
    <w:p w14:paraId="7BECCA05">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七、评分标准</w:t>
      </w:r>
    </w:p>
    <w:tbl>
      <w:tblPr>
        <w:tblStyle w:val="9"/>
        <w:tblW w:w="9278" w:type="dxa"/>
        <w:jc w:val="center"/>
        <w:tblLayout w:type="fixed"/>
        <w:tblCellMar>
          <w:top w:w="0" w:type="dxa"/>
          <w:left w:w="0" w:type="dxa"/>
          <w:bottom w:w="0" w:type="dxa"/>
          <w:right w:w="0" w:type="dxa"/>
        </w:tblCellMar>
      </w:tblPr>
      <w:tblGrid>
        <w:gridCol w:w="1748"/>
        <w:gridCol w:w="6041"/>
        <w:gridCol w:w="1489"/>
      </w:tblGrid>
      <w:tr w14:paraId="43FF1D94">
        <w:tblPrEx>
          <w:tblCellMar>
            <w:top w:w="0" w:type="dxa"/>
            <w:left w:w="0" w:type="dxa"/>
            <w:bottom w:w="0" w:type="dxa"/>
            <w:right w:w="0" w:type="dxa"/>
          </w:tblCellMar>
        </w:tblPrEx>
        <w:trPr>
          <w:trHeight w:val="0" w:hRule="atLeast"/>
          <w:jc w:val="center"/>
        </w:trPr>
        <w:tc>
          <w:tcPr>
            <w:tcW w:w="1748" w:type="dxa"/>
            <w:tcBorders>
              <w:top w:val="single" w:color="000000" w:sz="2" w:space="0"/>
              <w:left w:val="single" w:color="000000" w:sz="2" w:space="0"/>
              <w:bottom w:val="single" w:color="000000" w:sz="2" w:space="0"/>
              <w:right w:val="single" w:color="000000" w:sz="2" w:space="0"/>
            </w:tcBorders>
            <w:vAlign w:val="center"/>
          </w:tcPr>
          <w:p w14:paraId="4B13E0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项目名称</w:t>
            </w:r>
          </w:p>
        </w:tc>
        <w:tc>
          <w:tcPr>
            <w:tcW w:w="6041" w:type="dxa"/>
            <w:tcBorders>
              <w:top w:val="single" w:color="000000" w:sz="2" w:space="0"/>
              <w:left w:val="single" w:color="000000" w:sz="2" w:space="0"/>
              <w:bottom w:val="single" w:color="000000" w:sz="2" w:space="0"/>
              <w:right w:val="single" w:color="000000" w:sz="2" w:space="0"/>
            </w:tcBorders>
            <w:vAlign w:val="center"/>
          </w:tcPr>
          <w:p w14:paraId="6F6457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评审分项</w:t>
            </w:r>
          </w:p>
        </w:tc>
        <w:tc>
          <w:tcPr>
            <w:tcW w:w="1489" w:type="dxa"/>
            <w:tcBorders>
              <w:top w:val="single" w:color="000000" w:sz="2" w:space="0"/>
              <w:left w:val="single" w:color="000000" w:sz="2" w:space="0"/>
              <w:bottom w:val="single" w:color="000000" w:sz="2" w:space="0"/>
              <w:right w:val="single" w:color="000000" w:sz="2" w:space="0"/>
            </w:tcBorders>
            <w:vAlign w:val="center"/>
          </w:tcPr>
          <w:p w14:paraId="12373F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标准分值</w:t>
            </w:r>
          </w:p>
        </w:tc>
      </w:tr>
      <w:tr w14:paraId="7BD3A6DA">
        <w:tblPrEx>
          <w:tblCellMar>
            <w:top w:w="0" w:type="dxa"/>
            <w:left w:w="0" w:type="dxa"/>
            <w:bottom w:w="0" w:type="dxa"/>
            <w:right w:w="0" w:type="dxa"/>
          </w:tblCellMar>
        </w:tblPrEx>
        <w:trPr>
          <w:trHeight w:val="3770" w:hRule="atLeast"/>
          <w:jc w:val="center"/>
        </w:trPr>
        <w:tc>
          <w:tcPr>
            <w:tcW w:w="1748" w:type="dxa"/>
            <w:vMerge w:val="restart"/>
            <w:tcBorders>
              <w:top w:val="single" w:color="000000" w:sz="2" w:space="0"/>
              <w:left w:val="single" w:color="000000" w:sz="2" w:space="0"/>
              <w:bottom w:val="single" w:color="auto" w:sz="4" w:space="0"/>
              <w:right w:val="single" w:color="000000" w:sz="2" w:space="0"/>
            </w:tcBorders>
            <w:vAlign w:val="center"/>
          </w:tcPr>
          <w:p w14:paraId="3E8CC5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eastAsia"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互联网专线租用采购项目</w:t>
            </w:r>
          </w:p>
        </w:tc>
        <w:tc>
          <w:tcPr>
            <w:tcW w:w="6041" w:type="dxa"/>
            <w:tcBorders>
              <w:top w:val="single" w:color="000000" w:sz="2" w:space="0"/>
              <w:left w:val="single" w:color="000000" w:sz="2" w:space="0"/>
              <w:bottom w:val="single" w:color="000000" w:sz="2" w:space="0"/>
              <w:right w:val="single" w:color="000000" w:sz="2" w:space="0"/>
            </w:tcBorders>
            <w:vAlign w:val="center"/>
          </w:tcPr>
          <w:p w14:paraId="28DCF8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供应商资质/基本情况</w:t>
            </w:r>
          </w:p>
          <w:p w14:paraId="779A3F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default"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投标人具备基础电信业务经营许可证，得5分；具备ISO 27032网络空间安全管理体系评价证书，得5分；具备GB/T 39204关键信息基础设施保护体系认证证书，得5分；不满足或未提供得0分。</w:t>
            </w:r>
          </w:p>
        </w:tc>
        <w:tc>
          <w:tcPr>
            <w:tcW w:w="1489" w:type="dxa"/>
            <w:tcBorders>
              <w:top w:val="single" w:color="000000" w:sz="2" w:space="0"/>
              <w:left w:val="single" w:color="000000" w:sz="2" w:space="0"/>
              <w:bottom w:val="single" w:color="000000" w:sz="2" w:space="0"/>
              <w:right w:val="single" w:color="000000" w:sz="2" w:space="0"/>
            </w:tcBorders>
            <w:vAlign w:val="center"/>
          </w:tcPr>
          <w:p w14:paraId="72D778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default"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15</w:t>
            </w:r>
          </w:p>
        </w:tc>
      </w:tr>
      <w:tr w14:paraId="6CEC4DAA">
        <w:tblPrEx>
          <w:tblCellMar>
            <w:top w:w="0" w:type="dxa"/>
            <w:left w:w="0" w:type="dxa"/>
            <w:bottom w:w="0" w:type="dxa"/>
            <w:right w:w="0" w:type="dxa"/>
          </w:tblCellMar>
        </w:tblPrEx>
        <w:trPr>
          <w:trHeight w:val="0" w:hRule="atLeast"/>
          <w:jc w:val="center"/>
        </w:trPr>
        <w:tc>
          <w:tcPr>
            <w:tcW w:w="1748" w:type="dxa"/>
            <w:vMerge w:val="continue"/>
            <w:tcBorders>
              <w:top w:val="single" w:color="auto" w:sz="4" w:space="0"/>
              <w:left w:val="single" w:color="000000" w:sz="2" w:space="0"/>
              <w:bottom w:val="single" w:color="auto" w:sz="4" w:space="0"/>
              <w:right w:val="single" w:color="000000" w:sz="2" w:space="0"/>
            </w:tcBorders>
            <w:vAlign w:val="center"/>
          </w:tcPr>
          <w:p w14:paraId="4B0400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eastAsia" w:ascii="方正仿宋_GBK" w:hAnsi="方正仿宋_GBK" w:eastAsia="方正仿宋_GBK" w:cs="方正仿宋_GBK"/>
                <w:kern w:val="2"/>
                <w:sz w:val="28"/>
                <w:szCs w:val="28"/>
                <w:highlight w:val="none"/>
                <w:lang w:val="en-US" w:eastAsia="zh-CN" w:bidi="ar"/>
              </w:rPr>
            </w:pPr>
          </w:p>
        </w:tc>
        <w:tc>
          <w:tcPr>
            <w:tcW w:w="6041" w:type="dxa"/>
            <w:tcBorders>
              <w:top w:val="single" w:color="000000" w:sz="2" w:space="0"/>
              <w:left w:val="single" w:color="000000" w:sz="2" w:space="0"/>
              <w:bottom w:val="single" w:color="auto" w:sz="4" w:space="0"/>
              <w:right w:val="single" w:color="000000" w:sz="2" w:space="0"/>
            </w:tcBorders>
            <w:vAlign w:val="center"/>
          </w:tcPr>
          <w:p w14:paraId="1AAAB2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专线技术要求</w:t>
            </w:r>
          </w:p>
          <w:p w14:paraId="38BF4C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1、专线需具备开通进度可视化功能。（提供开通进度可视化功能界面截图）</w:t>
            </w:r>
          </w:p>
          <w:p w14:paraId="5C6F69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2、专线需具备故障处理可视化功能。（提供故障处理可视化功能界面截图）</w:t>
            </w:r>
          </w:p>
          <w:p w14:paraId="546D3E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3、专线需具备SLA性能可视化功能。（提供SLA性能可视功能界面截图）</w:t>
            </w:r>
          </w:p>
          <w:p w14:paraId="6E5CD0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4、专线需具备配套防火墙能力：具备态势感知能力；支持漏洞扫描、日志审计功能；支持平台自动阻断能力。（投标人提供体现产品功能的截图）</w:t>
            </w:r>
          </w:p>
          <w:p w14:paraId="4B9C7C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5、专线组网技术支持切片分组网，核心层、汇聚层、接入层均支持FlexE接口互联功能。（提供第三方机构出具的测试/检测报告复印件）</w:t>
            </w:r>
          </w:p>
          <w:p w14:paraId="7489C9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6、专线组网设备需具备交叉颗粒度，交叉颗粒度大小≤10M。（提供第三方机构出具的测试/检测报告复印件）</w:t>
            </w:r>
          </w:p>
          <w:p w14:paraId="29DDD6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7、专线组网设备具备在设备每次掉电重启前后并且设备均为正常锁定状态后的时间精度变化均应小于±5ns。（提供第三方机构出具的测试/检测报告复印件）</w:t>
            </w:r>
          </w:p>
          <w:p w14:paraId="657B59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8、专线需具备配套网关管理能力：为了可以对全网设备进行统一的可视化集中管理，要求所提供设备支持管理平台的集中管理，能够实现拓扑呈现，实时反馈CPU内存情况，远程配置等。（提供产品功能界面截图）</w:t>
            </w:r>
          </w:p>
          <w:p w14:paraId="21806F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9、供应商或供应商母公司的全网 DDOS 防护系统，DC类清洗节点单节点防护能力800G、通用清洗节点单节点防护能力400G。（提供第三方机构出具的测试/检测报告复印件）</w:t>
            </w:r>
          </w:p>
          <w:p w14:paraId="4EAB6E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10、供应商或供应商母公司的全网抗DDoS系统的整体防护能力≥22T，在防护IP使用流量清洗功能时，启动清洗和停止清洗时，对该防护IP的Ping测试不会出现丢包状态，测试没有显著的延迟增加，无连接中断状态。（提供第三方机构出具的测试/检测报告复印件）</w:t>
            </w:r>
          </w:p>
          <w:p w14:paraId="01315F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lang w:val="en-US" w:eastAsia="zh-CN"/>
              </w:rPr>
            </w:pPr>
            <w:r>
              <w:rPr>
                <w:rFonts w:hint="eastAsia" w:ascii="方正仿宋_GBK" w:hAnsi="方正仿宋_GBK" w:eastAsia="方正仿宋_GBK" w:cs="方正仿宋_GBK"/>
                <w:b/>
                <w:bCs/>
                <w:kern w:val="2"/>
                <w:sz w:val="28"/>
                <w:szCs w:val="28"/>
                <w:highlight w:val="none"/>
                <w:lang w:val="en-US" w:eastAsia="zh-CN" w:bidi="ar"/>
              </w:rPr>
              <w:t>满足以上技术要求且提供证明材料的，每满足1条得3分，不满足或未提供的不得分。</w:t>
            </w:r>
          </w:p>
        </w:tc>
        <w:tc>
          <w:tcPr>
            <w:tcW w:w="1489" w:type="dxa"/>
            <w:tcBorders>
              <w:top w:val="single" w:color="000000" w:sz="2" w:space="0"/>
              <w:left w:val="single" w:color="000000" w:sz="2" w:space="0"/>
              <w:bottom w:val="single" w:color="000000" w:sz="2" w:space="0"/>
              <w:right w:val="single" w:color="000000" w:sz="2" w:space="0"/>
            </w:tcBorders>
            <w:vAlign w:val="center"/>
          </w:tcPr>
          <w:p w14:paraId="7BDAE4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default"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30</w:t>
            </w:r>
          </w:p>
        </w:tc>
      </w:tr>
      <w:tr w14:paraId="6D29F7F3">
        <w:tblPrEx>
          <w:tblCellMar>
            <w:top w:w="0" w:type="dxa"/>
            <w:left w:w="0" w:type="dxa"/>
            <w:bottom w:w="0" w:type="dxa"/>
            <w:right w:w="0" w:type="dxa"/>
          </w:tblCellMar>
        </w:tblPrEx>
        <w:trPr>
          <w:trHeight w:val="6230" w:hRule="atLeast"/>
          <w:jc w:val="center"/>
        </w:trPr>
        <w:tc>
          <w:tcPr>
            <w:tcW w:w="1748" w:type="dxa"/>
            <w:vMerge w:val="continue"/>
            <w:tcBorders>
              <w:top w:val="single" w:color="auto" w:sz="4" w:space="0"/>
              <w:left w:val="single" w:color="000000" w:sz="2" w:space="0"/>
              <w:bottom w:val="single" w:color="auto" w:sz="4" w:space="0"/>
              <w:right w:val="single" w:color="000000" w:sz="2" w:space="0"/>
            </w:tcBorders>
            <w:vAlign w:val="center"/>
          </w:tcPr>
          <w:p w14:paraId="0C599CDC">
            <w:pPr>
              <w:keepNext w:val="0"/>
              <w:keepLines w:val="0"/>
              <w:pageBreakBefore w:val="0"/>
              <w:widowControl w:val="0"/>
              <w:kinsoku/>
              <w:wordWrap/>
              <w:overflowPunct/>
              <w:topLinePunct w:val="0"/>
              <w:autoSpaceDE/>
              <w:autoSpaceDN/>
              <w:bidi w:val="0"/>
              <w:spacing w:line="560" w:lineRule="exact"/>
              <w:textAlignment w:val="auto"/>
              <w:rPr>
                <w:rFonts w:hint="default" w:ascii="Calibri" w:hAnsi="Calibri" w:cs="Calibri"/>
                <w:sz w:val="20"/>
                <w:szCs w:val="20"/>
                <w:highlight w:val="none"/>
              </w:rPr>
            </w:pPr>
          </w:p>
        </w:tc>
        <w:tc>
          <w:tcPr>
            <w:tcW w:w="6041" w:type="dxa"/>
            <w:tcBorders>
              <w:top w:val="single" w:color="auto" w:sz="4" w:space="0"/>
              <w:left w:val="single" w:color="000000" w:sz="2" w:space="0"/>
              <w:bottom w:val="single" w:color="auto" w:sz="4" w:space="0"/>
              <w:right w:val="single" w:color="000000" w:sz="2" w:space="0"/>
            </w:tcBorders>
            <w:vAlign w:val="center"/>
          </w:tcPr>
          <w:p w14:paraId="05DBE6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服务方案</w:t>
            </w:r>
          </w:p>
          <w:p w14:paraId="3BEA41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both"/>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服务方案内容包括但不限于组网技术方案、团队组织架构与人员配置、项目进度与保证措施、质量保障措施方案等。根据投标人提供的服务方案的全面性、合理性，按照优劣程度进行评分。</w:t>
            </w:r>
          </w:p>
          <w:p w14:paraId="77518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方案内容完整、针对性强、可操作性强得20分；</w:t>
            </w:r>
          </w:p>
          <w:p w14:paraId="114662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方案内容简单粗略、针对性一般、可操作性一般得15分；</w:t>
            </w:r>
          </w:p>
          <w:p w14:paraId="659004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方案内容不完整、针对性差、可操作性差得10分；</w:t>
            </w:r>
          </w:p>
          <w:p w14:paraId="301F09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未提供的不得分。</w:t>
            </w:r>
          </w:p>
        </w:tc>
        <w:tc>
          <w:tcPr>
            <w:tcW w:w="1489" w:type="dxa"/>
            <w:tcBorders>
              <w:top w:val="single" w:color="000000" w:sz="2" w:space="0"/>
              <w:left w:val="single" w:color="000000" w:sz="2" w:space="0"/>
              <w:bottom w:val="single" w:color="000000" w:sz="2" w:space="0"/>
              <w:right w:val="single" w:color="000000" w:sz="2" w:space="0"/>
            </w:tcBorders>
            <w:vAlign w:val="center"/>
          </w:tcPr>
          <w:p w14:paraId="4DC307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default"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20</w:t>
            </w:r>
          </w:p>
        </w:tc>
      </w:tr>
      <w:tr w14:paraId="5C051F78">
        <w:tblPrEx>
          <w:tblCellMar>
            <w:top w:w="0" w:type="dxa"/>
            <w:left w:w="0" w:type="dxa"/>
            <w:bottom w:w="0" w:type="dxa"/>
            <w:right w:w="0" w:type="dxa"/>
          </w:tblCellMar>
        </w:tblPrEx>
        <w:trPr>
          <w:trHeight w:val="0" w:hRule="atLeast"/>
          <w:jc w:val="center"/>
        </w:trPr>
        <w:tc>
          <w:tcPr>
            <w:tcW w:w="1748" w:type="dxa"/>
            <w:vMerge w:val="continue"/>
            <w:tcBorders>
              <w:top w:val="single" w:color="auto" w:sz="4" w:space="0"/>
              <w:left w:val="single" w:color="000000" w:sz="2" w:space="0"/>
              <w:right w:val="single" w:color="000000" w:sz="2" w:space="0"/>
            </w:tcBorders>
            <w:vAlign w:val="center"/>
          </w:tcPr>
          <w:p w14:paraId="0F52ABA0">
            <w:pPr>
              <w:keepNext w:val="0"/>
              <w:keepLines w:val="0"/>
              <w:pageBreakBefore w:val="0"/>
              <w:widowControl w:val="0"/>
              <w:kinsoku/>
              <w:wordWrap/>
              <w:overflowPunct/>
              <w:topLinePunct w:val="0"/>
              <w:autoSpaceDE/>
              <w:autoSpaceDN/>
              <w:bidi w:val="0"/>
              <w:spacing w:line="560" w:lineRule="exact"/>
              <w:textAlignment w:val="auto"/>
              <w:rPr>
                <w:rFonts w:hint="default" w:ascii="Calibri" w:hAnsi="Calibri" w:cs="Calibri"/>
                <w:sz w:val="20"/>
                <w:szCs w:val="20"/>
                <w:highlight w:val="none"/>
              </w:rPr>
            </w:pPr>
          </w:p>
        </w:tc>
        <w:tc>
          <w:tcPr>
            <w:tcW w:w="6041" w:type="dxa"/>
            <w:tcBorders>
              <w:top w:val="single" w:color="auto" w:sz="4" w:space="0"/>
              <w:left w:val="single" w:color="000000" w:sz="2" w:space="0"/>
              <w:bottom w:val="single" w:color="000000" w:sz="2" w:space="0"/>
              <w:right w:val="single" w:color="000000" w:sz="2" w:space="0"/>
            </w:tcBorders>
            <w:vAlign w:val="center"/>
          </w:tcPr>
          <w:p w14:paraId="054906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售后服务方案</w:t>
            </w:r>
          </w:p>
          <w:p w14:paraId="3CD459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both"/>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lang w:val="en-US" w:eastAsia="zh-CN" w:bidi="ar"/>
              </w:rPr>
              <w:t>售后服务方案内容包括但不限于售后服务组织设置、售后服务响应机制、应急事件响应机制、故障处理方案等。</w:t>
            </w:r>
            <w:r>
              <w:rPr>
                <w:rFonts w:hint="eastAsia" w:ascii="方正仿宋_GBK" w:hAnsi="方正仿宋_GBK" w:eastAsia="方正仿宋_GBK" w:cs="方正仿宋_GBK"/>
                <w:kern w:val="2"/>
                <w:sz w:val="28"/>
                <w:szCs w:val="28"/>
                <w:highlight w:val="none"/>
                <w:shd w:val="clear" w:color="auto" w:fill="auto"/>
                <w:lang w:val="en-US" w:eastAsia="zh-CN" w:bidi="ar"/>
              </w:rPr>
              <w:t>根据投标人提供的服务方案的全面性、合理性，按照优劣程度进行评分。</w:t>
            </w:r>
          </w:p>
          <w:p w14:paraId="4502FF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方案内容完整、针对性强、可操作性强得10分；</w:t>
            </w:r>
          </w:p>
          <w:p w14:paraId="768933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方案内容简单粗略、针对性一般、可操作性一般得5分；</w:t>
            </w:r>
          </w:p>
          <w:p w14:paraId="20A737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方案内容不完整、针对性差、可操作性差得2分；</w:t>
            </w:r>
          </w:p>
          <w:p w14:paraId="6913E4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firstLineChars="0"/>
              <w:jc w:val="left"/>
              <w:textAlignment w:val="auto"/>
              <w:rPr>
                <w:rFonts w:hint="eastAsia"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shd w:val="clear" w:color="auto" w:fill="auto"/>
                <w:lang w:val="en-US" w:eastAsia="zh-CN" w:bidi="ar"/>
              </w:rPr>
              <w:t>未提供的不得分。</w:t>
            </w:r>
          </w:p>
        </w:tc>
        <w:tc>
          <w:tcPr>
            <w:tcW w:w="1489" w:type="dxa"/>
            <w:tcBorders>
              <w:top w:val="single" w:color="000000" w:sz="2" w:space="0"/>
              <w:left w:val="single" w:color="000000" w:sz="2" w:space="0"/>
              <w:bottom w:val="single" w:color="000000" w:sz="2" w:space="0"/>
              <w:right w:val="single" w:color="000000" w:sz="2" w:space="0"/>
            </w:tcBorders>
            <w:vAlign w:val="center"/>
          </w:tcPr>
          <w:p w14:paraId="1CFD43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firstLineChars="0"/>
              <w:jc w:val="center"/>
              <w:textAlignment w:val="auto"/>
              <w:rPr>
                <w:rFonts w:hint="default"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10</w:t>
            </w:r>
          </w:p>
        </w:tc>
      </w:tr>
      <w:tr w14:paraId="3FB8DE5A">
        <w:tblPrEx>
          <w:tblCellMar>
            <w:top w:w="0" w:type="dxa"/>
            <w:left w:w="0" w:type="dxa"/>
            <w:bottom w:w="0" w:type="dxa"/>
            <w:right w:w="0" w:type="dxa"/>
          </w:tblCellMar>
        </w:tblPrEx>
        <w:trPr>
          <w:trHeight w:val="2245" w:hRule="atLeast"/>
          <w:jc w:val="center"/>
        </w:trPr>
        <w:tc>
          <w:tcPr>
            <w:tcW w:w="1748" w:type="dxa"/>
            <w:vMerge w:val="continue"/>
            <w:tcBorders>
              <w:left w:val="single" w:color="000000" w:sz="2" w:space="0"/>
              <w:bottom w:val="single" w:color="auto" w:sz="4" w:space="0"/>
              <w:right w:val="single" w:color="000000" w:sz="2" w:space="0"/>
            </w:tcBorders>
            <w:vAlign w:val="center"/>
          </w:tcPr>
          <w:p w14:paraId="4587F556">
            <w:pPr>
              <w:keepNext w:val="0"/>
              <w:keepLines w:val="0"/>
              <w:pageBreakBefore w:val="0"/>
              <w:widowControl w:val="0"/>
              <w:kinsoku/>
              <w:wordWrap/>
              <w:overflowPunct/>
              <w:topLinePunct w:val="0"/>
              <w:autoSpaceDE/>
              <w:autoSpaceDN/>
              <w:bidi w:val="0"/>
              <w:spacing w:line="560" w:lineRule="exact"/>
              <w:textAlignment w:val="auto"/>
              <w:rPr>
                <w:rFonts w:hint="default" w:ascii="Calibri" w:hAnsi="Calibri" w:cs="Calibri"/>
                <w:sz w:val="20"/>
                <w:szCs w:val="20"/>
                <w:highlight w:val="none"/>
              </w:rPr>
            </w:pPr>
          </w:p>
        </w:tc>
        <w:tc>
          <w:tcPr>
            <w:tcW w:w="604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4F54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类似规模案例/合同</w:t>
            </w:r>
          </w:p>
          <w:p w14:paraId="2D033E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firstLineChars="0"/>
              <w:jc w:val="left"/>
              <w:textAlignment w:val="auto"/>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投标人提供2023年1月1日至今具有本类服务的，1个得2.5分，满分5分。（未提供相关证明材料或证明材料提供不完整的业绩不得分）。</w:t>
            </w:r>
          </w:p>
        </w:tc>
        <w:tc>
          <w:tcPr>
            <w:tcW w:w="148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D971A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firstLineChars="0"/>
              <w:jc w:val="center"/>
              <w:textAlignment w:val="auto"/>
              <w:rPr>
                <w:rFonts w:hint="eastAsia" w:ascii="方正仿宋_GBK" w:hAnsi="方正仿宋_GBK" w:eastAsia="方正仿宋_GBK" w:cs="方正仿宋_GBK"/>
                <w:kern w:val="2"/>
                <w:sz w:val="21"/>
                <w:szCs w:val="28"/>
                <w:highlight w:val="none"/>
                <w:lang w:val="en-US" w:eastAsia="zh-CN" w:bidi="ar-SA"/>
              </w:rPr>
            </w:pPr>
            <w:r>
              <w:rPr>
                <w:rFonts w:hint="eastAsia" w:ascii="方正仿宋_GBK" w:hAnsi="方正仿宋_GBK" w:eastAsia="方正仿宋_GBK" w:cs="方正仿宋_GBK"/>
                <w:kern w:val="2"/>
                <w:sz w:val="28"/>
                <w:szCs w:val="28"/>
                <w:highlight w:val="none"/>
                <w:lang w:val="en-US" w:eastAsia="zh-CN" w:bidi="ar"/>
              </w:rPr>
              <w:t>5</w:t>
            </w:r>
          </w:p>
        </w:tc>
      </w:tr>
      <w:tr w14:paraId="7777A738">
        <w:tblPrEx>
          <w:tblCellMar>
            <w:top w:w="0" w:type="dxa"/>
            <w:left w:w="0" w:type="dxa"/>
            <w:bottom w:w="0" w:type="dxa"/>
            <w:right w:w="0" w:type="dxa"/>
          </w:tblCellMar>
        </w:tblPrEx>
        <w:trPr>
          <w:trHeight w:val="2400" w:hRule="atLeast"/>
          <w:jc w:val="center"/>
        </w:trPr>
        <w:tc>
          <w:tcPr>
            <w:tcW w:w="1748" w:type="dxa"/>
            <w:vMerge w:val="continue"/>
            <w:tcBorders>
              <w:top w:val="single" w:color="auto" w:sz="4" w:space="0"/>
              <w:left w:val="single" w:color="000000" w:sz="2" w:space="0"/>
              <w:bottom w:val="single" w:color="000000" w:sz="2" w:space="0"/>
              <w:right w:val="single" w:color="000000" w:sz="2" w:space="0"/>
            </w:tcBorders>
            <w:vAlign w:val="center"/>
          </w:tcPr>
          <w:p w14:paraId="61F46BA8">
            <w:pPr>
              <w:keepNext w:val="0"/>
              <w:keepLines w:val="0"/>
              <w:pageBreakBefore w:val="0"/>
              <w:widowControl w:val="0"/>
              <w:kinsoku/>
              <w:wordWrap/>
              <w:overflowPunct/>
              <w:topLinePunct w:val="0"/>
              <w:autoSpaceDE/>
              <w:autoSpaceDN/>
              <w:bidi w:val="0"/>
              <w:spacing w:line="560" w:lineRule="exact"/>
              <w:textAlignment w:val="auto"/>
              <w:rPr>
                <w:rFonts w:hint="default" w:ascii="Calibri" w:hAnsi="Calibri" w:cs="Calibri"/>
                <w:sz w:val="20"/>
                <w:szCs w:val="20"/>
                <w:highlight w:val="none"/>
              </w:rPr>
            </w:pPr>
          </w:p>
        </w:tc>
        <w:tc>
          <w:tcPr>
            <w:tcW w:w="604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D630C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价格</w:t>
            </w:r>
          </w:p>
          <w:p w14:paraId="6BAF51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both"/>
              <w:textAlignment w:val="auto"/>
              <w:outlineLvl w:val="9"/>
              <w:rPr>
                <w:rFonts w:hint="eastAsia"/>
                <w:lang w:val="en-US" w:eastAsia="zh-CN"/>
              </w:rPr>
            </w:pPr>
            <w:r>
              <w:rPr>
                <w:rFonts w:hint="eastAsia" w:ascii="方正仿宋_GBK" w:hAnsi="方正仿宋_GBK" w:eastAsia="方正仿宋_GBK" w:cs="方正仿宋_GBK"/>
                <w:kern w:val="2"/>
                <w:sz w:val="28"/>
                <w:szCs w:val="28"/>
                <w:highlight w:val="none"/>
                <w:lang w:val="en-US" w:eastAsia="zh-CN" w:bidi="ar"/>
              </w:rPr>
              <w:t>满足招标文件要求且报价最低的为评审基准价，价格得分=（评审基准价/报价）×标准分值（价格得分保留两位小数，小数点后第三位四舍五入）</w:t>
            </w:r>
          </w:p>
        </w:tc>
        <w:tc>
          <w:tcPr>
            <w:tcW w:w="148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24B3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firstLineChars="0"/>
              <w:jc w:val="center"/>
              <w:textAlignment w:val="auto"/>
              <w:rPr>
                <w:rFonts w:hint="eastAsia" w:ascii="方正仿宋_GBK" w:hAnsi="方正仿宋_GBK" w:eastAsia="方正仿宋_GBK" w:cs="方正仿宋_GBK"/>
                <w:kern w:val="2"/>
                <w:sz w:val="21"/>
                <w:szCs w:val="28"/>
                <w:highlight w:val="none"/>
                <w:lang w:val="en-US" w:eastAsia="zh-CN" w:bidi="ar-SA"/>
              </w:rPr>
            </w:pPr>
            <w:r>
              <w:rPr>
                <w:rFonts w:hint="eastAsia" w:ascii="方正仿宋_GBK" w:hAnsi="方正仿宋_GBK" w:eastAsia="方正仿宋_GBK" w:cs="方正仿宋_GBK"/>
                <w:kern w:val="2"/>
                <w:sz w:val="28"/>
                <w:szCs w:val="28"/>
                <w:highlight w:val="none"/>
                <w:lang w:val="en-US" w:eastAsia="zh-CN" w:bidi="ar"/>
              </w:rPr>
              <w:t>20</w:t>
            </w:r>
          </w:p>
        </w:tc>
      </w:tr>
    </w:tbl>
    <w:p w14:paraId="70E9619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重庆科学城融资担保有限公司采购评审会将依照本次竞争性比选文件相关规定在最大限度满足实质性要求前提下，按照招标文件中规定的各项因素进行综合评审后，以总得分最高的供应商作为拟中标供应商。</w:t>
      </w:r>
    </w:p>
    <w:p w14:paraId="038457A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八、其他需说明事项 </w:t>
      </w:r>
    </w:p>
    <w:p w14:paraId="20E0EAD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sz w:val="32"/>
          <w:szCs w:val="32"/>
        </w:rPr>
      </w:pPr>
      <w:r>
        <w:rPr>
          <w:rFonts w:hint="eastAsia" w:ascii="方正仿宋_GBK" w:hAnsi="方正仿宋_GBK" w:eastAsia="方正仿宋_GBK" w:cs="方正仿宋_GBK"/>
          <w:color w:val="000000"/>
          <w:kern w:val="0"/>
          <w:sz w:val="32"/>
          <w:szCs w:val="32"/>
          <w:lang w:val="en-US" w:eastAsia="zh-CN" w:bidi="ar"/>
        </w:rPr>
        <w:t>其他未尽事宜由供需双方在采购合同中详细约定。</w:t>
      </w:r>
    </w:p>
    <w:p w14:paraId="08DB7E8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九、联系方式 </w:t>
      </w:r>
    </w:p>
    <w:p w14:paraId="47C1EB5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sz w:val="32"/>
          <w:szCs w:val="32"/>
        </w:rPr>
      </w:pPr>
      <w:r>
        <w:rPr>
          <w:rFonts w:hint="eastAsia" w:ascii="方正仿宋_GBK" w:hAnsi="方正仿宋_GBK" w:eastAsia="方正仿宋_GBK" w:cs="方正仿宋_GBK"/>
          <w:color w:val="000000"/>
          <w:kern w:val="0"/>
          <w:sz w:val="32"/>
          <w:szCs w:val="32"/>
          <w:lang w:val="en-US" w:eastAsia="zh-CN" w:bidi="ar"/>
        </w:rPr>
        <w:t xml:space="preserve">联系人：王老师 </w:t>
      </w:r>
    </w:p>
    <w:p w14:paraId="25DF9BE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sz w:val="32"/>
          <w:szCs w:val="32"/>
          <w:lang w:val="en-US"/>
        </w:rPr>
      </w:pPr>
      <w:r>
        <w:rPr>
          <w:rFonts w:hint="eastAsia" w:ascii="方正仿宋_GBK" w:hAnsi="方正仿宋_GBK" w:eastAsia="方正仿宋_GBK" w:cs="方正仿宋_GBK"/>
          <w:color w:val="000000"/>
          <w:kern w:val="0"/>
          <w:sz w:val="32"/>
          <w:szCs w:val="32"/>
          <w:lang w:val="en-US" w:eastAsia="zh-CN" w:bidi="ar"/>
        </w:rPr>
        <w:t>联系电话：15923371576</w:t>
      </w:r>
    </w:p>
    <w:p w14:paraId="6E5B9FF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联系地址：重庆市沙坪坝区西永大道36号附4号育成加速器5楼 </w:t>
      </w:r>
    </w:p>
    <w:p w14:paraId="2262887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p>
    <w:p w14:paraId="0D248DA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p>
    <w:p w14:paraId="6C08ADE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方正仿宋_GBK" w:hAnsi="方正仿宋_GBK" w:eastAsia="方正仿宋_GBK" w:cs="方正仿宋_GBK"/>
          <w:color w:val="000000"/>
          <w:kern w:val="0"/>
          <w:sz w:val="32"/>
          <w:szCs w:val="32"/>
          <w:lang w:val="en-US" w:eastAsia="zh-CN" w:bidi="ar"/>
        </w:rPr>
        <w:t xml:space="preserve">                              2025年7月17日</w:t>
      </w:r>
    </w:p>
    <w:p w14:paraId="31D6BEAE">
      <w:pPr>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734F48D3">
      <w:pPr>
        <w:keepNext w:val="0"/>
        <w:keepLines w:val="0"/>
        <w:widowControl/>
        <w:suppressLineNumbers w:val="0"/>
        <w:jc w:val="center"/>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报价函</w:t>
      </w:r>
    </w:p>
    <w:p w14:paraId="0398A81E">
      <w:pPr>
        <w:keepNext w:val="0"/>
        <w:keepLines w:val="0"/>
        <w:widowControl/>
        <w:suppressLineNumbers w:val="0"/>
        <w:jc w:val="left"/>
        <w:rPr>
          <w:rFonts w:hint="default" w:ascii="方正仿宋_GBK" w:hAnsi="方正仿宋_GBK" w:eastAsia="方正仿宋_GBK" w:cs="方正仿宋_GBK"/>
          <w:color w:val="000000"/>
          <w:kern w:val="0"/>
          <w:sz w:val="32"/>
          <w:szCs w:val="32"/>
          <w:lang w:val="en-US" w:eastAsia="zh-CN" w:bidi="ar"/>
        </w:rPr>
      </w:pPr>
    </w:p>
    <w:p w14:paraId="459E3DBA">
      <w:pPr>
        <w:keepNext w:val="0"/>
        <w:keepLines w:val="0"/>
        <w:widowControl/>
        <w:suppressLineNumbers w:val="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w:t>
      </w:r>
    </w:p>
    <w:p w14:paraId="377AFCEC">
      <w:pPr>
        <w:keepNext w:val="0"/>
        <w:keepLines w:val="0"/>
        <w:widowControl/>
        <w:suppressLineNumbers w:val="0"/>
        <w:ind w:firstLine="64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lang w:val="en-US" w:eastAsia="zh-CN" w:bidi="ar"/>
        </w:rPr>
        <w:t>我方收到</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（询价项目名称）的询价函，经详细研究，决定参加该询价项目的报价。</w:t>
      </w:r>
    </w:p>
    <w:p w14:paraId="51DBAC9A">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1.愿意按照询价函中的一切要求，提供询价采购内容供货及技术服务，初始报价为人民币大写：</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元整；人民币小写RMB：</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w:t>
      </w:r>
    </w:p>
    <w:p w14:paraId="67120007">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2.我们现提供的报价文件为：报价文件正本壹份，副本</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份。</w:t>
      </w:r>
    </w:p>
    <w:p w14:paraId="105127B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3.我们完全理解和接受贵方询价函的一切规定和要求，完全答应询价函中规定的所有条件和询价评审方法。</w:t>
      </w:r>
    </w:p>
    <w:p w14:paraId="5B1429C0">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4.在整个询价过程中，我方若有违规行为，贵方可按《中华人民共和国政府采购法》和《询价函》之规定给予惩罚，我方完全接受。</w:t>
      </w:r>
    </w:p>
    <w:p w14:paraId="009E6B20">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5.若我们成为成交供应商，我方将按照最终询价结果签订合同，并且严格履行合同义务。本函将成为合同不可分割的一部分，与合同具有同等的法律效力。</w:t>
      </w:r>
    </w:p>
    <w:p w14:paraId="1FAC5C8B">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7832BE1F">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7B6E341C">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报价人（公章）：</w:t>
      </w:r>
    </w:p>
    <w:p w14:paraId="7C1C7544">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25D3508D">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联系人：                电话：</w:t>
      </w:r>
    </w:p>
    <w:p w14:paraId="2FC63B6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 xml:space="preserve">                                        年   月   日</w:t>
      </w:r>
    </w:p>
    <w:p w14:paraId="2A7D2EC3">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69C58E3D">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70568F99">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618C789F">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7C5117AF">
      <w:pPr>
        <w:spacing w:line="560" w:lineRule="exact"/>
        <w:jc w:val="left"/>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2</w:t>
      </w:r>
    </w:p>
    <w:p w14:paraId="791B7053">
      <w:pPr>
        <w:tabs>
          <w:tab w:val="left" w:pos="6300"/>
        </w:tabs>
        <w:snapToGrid w:val="0"/>
        <w:spacing w:line="560" w:lineRule="exact"/>
        <w:jc w:val="center"/>
        <w:outlineLvl w:val="0"/>
        <w:rPr>
          <w:rFonts w:eastAsia="黑体"/>
          <w:sz w:val="32"/>
        </w:rPr>
      </w:pPr>
      <w:r>
        <w:rPr>
          <w:rFonts w:hint="eastAsia" w:eastAsia="黑体"/>
          <w:sz w:val="32"/>
        </w:rPr>
        <w:t>法定代表人身份证明书（格式）</w:t>
      </w:r>
    </w:p>
    <w:p w14:paraId="1BA6C645">
      <w:pPr>
        <w:tabs>
          <w:tab w:val="left" w:pos="6300"/>
        </w:tabs>
        <w:snapToGrid w:val="0"/>
        <w:spacing w:line="560" w:lineRule="exact"/>
      </w:pPr>
    </w:p>
    <w:p w14:paraId="62D2075D">
      <w:pPr>
        <w:tabs>
          <w:tab w:val="left" w:pos="6300"/>
        </w:tabs>
        <w:snapToGrid w:val="0"/>
        <w:spacing w:line="560" w:lineRule="exact"/>
        <w:ind w:firstLine="854" w:firstLineChars="267"/>
      </w:pPr>
      <w:r>
        <w:rPr>
          <w:rFonts w:hint="eastAsia" w:ascii="方正仿宋_GBK" w:eastAsia="方正仿宋_GBK"/>
          <w:sz w:val="32"/>
          <w:szCs w:val="32"/>
        </w:rPr>
        <w:t>（法定代表人姓名）在（供应商名称）任 （职务名称）职务，是_</w:t>
      </w:r>
      <w:r>
        <w:t>_________________</w:t>
      </w:r>
      <w:r>
        <w:rPr>
          <w:rFonts w:hint="eastAsia" w:ascii="方正仿宋_GBK" w:eastAsia="方正仿宋_GBK"/>
          <w:sz w:val="32"/>
          <w:szCs w:val="32"/>
        </w:rPr>
        <w:t>（供应商名称）的法定代表人。</w:t>
      </w:r>
    </w:p>
    <w:p w14:paraId="28549B0A">
      <w:pPr>
        <w:tabs>
          <w:tab w:val="left" w:pos="6300"/>
        </w:tabs>
        <w:snapToGrid w:val="0"/>
        <w:spacing w:line="560" w:lineRule="exact"/>
        <w:ind w:firstLine="573"/>
      </w:pPr>
    </w:p>
    <w:p w14:paraId="2B987415">
      <w:pPr>
        <w:tabs>
          <w:tab w:val="left" w:pos="6300"/>
        </w:tabs>
        <w:snapToGrid w:val="0"/>
        <w:spacing w:line="560" w:lineRule="exact"/>
        <w:ind w:firstLine="573"/>
        <w:outlineLvl w:val="0"/>
      </w:pPr>
      <w:r>
        <w:rPr>
          <w:rFonts w:hint="eastAsia" w:ascii="方正仿宋_GBK" w:eastAsia="方正仿宋_GBK"/>
          <w:sz w:val="32"/>
          <w:szCs w:val="32"/>
        </w:rPr>
        <w:t>特此证明。</w:t>
      </w:r>
    </w:p>
    <w:p w14:paraId="5773B9FB">
      <w:pPr>
        <w:tabs>
          <w:tab w:val="left" w:pos="6300"/>
        </w:tabs>
        <w:snapToGrid w:val="0"/>
        <w:spacing w:line="560" w:lineRule="exact"/>
      </w:pPr>
    </w:p>
    <w:p w14:paraId="3D5794AA">
      <w:pPr>
        <w:tabs>
          <w:tab w:val="left" w:pos="6300"/>
        </w:tabs>
        <w:snapToGrid w:val="0"/>
        <w:spacing w:line="560" w:lineRule="exact"/>
      </w:pPr>
    </w:p>
    <w:p w14:paraId="088E8B1E">
      <w:pPr>
        <w:tabs>
          <w:tab w:val="left" w:pos="6300"/>
        </w:tabs>
        <w:snapToGrid w:val="0"/>
        <w:spacing w:line="560" w:lineRule="exact"/>
      </w:pPr>
    </w:p>
    <w:p w14:paraId="5201E42E">
      <w:pPr>
        <w:tabs>
          <w:tab w:val="left" w:pos="6300"/>
        </w:tabs>
        <w:snapToGrid w:val="0"/>
        <w:spacing w:line="560" w:lineRule="exact"/>
      </w:pPr>
    </w:p>
    <w:p w14:paraId="4288A022">
      <w:pPr>
        <w:tabs>
          <w:tab w:val="left" w:pos="6300"/>
        </w:tabs>
        <w:snapToGrid w:val="0"/>
        <w:spacing w:line="560" w:lineRule="exact"/>
      </w:pPr>
    </w:p>
    <w:p w14:paraId="13F56588">
      <w:pPr>
        <w:tabs>
          <w:tab w:val="left" w:pos="6300"/>
        </w:tabs>
        <w:snapToGrid w:val="0"/>
        <w:spacing w:line="560" w:lineRule="exact"/>
        <w:outlineLvl w:val="0"/>
      </w:pPr>
      <w:r>
        <w:rPr>
          <w:rFonts w:hint="eastAsia" w:ascii="方正仿宋_GBK" w:eastAsia="方正仿宋_GBK"/>
          <w:sz w:val="32"/>
          <w:szCs w:val="32"/>
        </w:rPr>
        <w:t>（供应商全称）</w:t>
      </w:r>
    </w:p>
    <w:p w14:paraId="577694DF">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14:paraId="06AC7791">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14:paraId="3233BDFB">
      <w:pPr>
        <w:tabs>
          <w:tab w:val="left" w:pos="6300"/>
        </w:tabs>
        <w:snapToGrid w:val="0"/>
        <w:spacing w:line="560" w:lineRule="exact"/>
      </w:pPr>
    </w:p>
    <w:p w14:paraId="61F9F31D">
      <w:pPr>
        <w:tabs>
          <w:tab w:val="left" w:pos="6300"/>
        </w:tabs>
        <w:snapToGrid w:val="0"/>
        <w:spacing w:line="560" w:lineRule="exact"/>
      </w:pPr>
    </w:p>
    <w:p w14:paraId="18E312CE">
      <w:pPr>
        <w:tabs>
          <w:tab w:val="left" w:pos="6300"/>
        </w:tabs>
        <w:snapToGrid w:val="0"/>
        <w:spacing w:line="560" w:lineRule="exact"/>
      </w:pPr>
    </w:p>
    <w:p w14:paraId="4BCBA610">
      <w:pPr>
        <w:tabs>
          <w:tab w:val="left" w:pos="6300"/>
        </w:tabs>
        <w:snapToGrid w:val="0"/>
        <w:spacing w:line="560" w:lineRule="exact"/>
      </w:pPr>
    </w:p>
    <w:p w14:paraId="1D6ECEF2">
      <w:pPr>
        <w:tabs>
          <w:tab w:val="left" w:pos="6300"/>
        </w:tabs>
        <w:snapToGrid w:val="0"/>
        <w:spacing w:line="560" w:lineRule="exact"/>
      </w:pPr>
    </w:p>
    <w:p w14:paraId="2ADE03C4">
      <w:pPr>
        <w:tabs>
          <w:tab w:val="left" w:pos="6300"/>
        </w:tabs>
        <w:snapToGrid w:val="0"/>
        <w:spacing w:line="560" w:lineRule="exact"/>
      </w:pPr>
    </w:p>
    <w:p w14:paraId="58672F32">
      <w:pPr>
        <w:tabs>
          <w:tab w:val="left" w:pos="6300"/>
        </w:tabs>
        <w:snapToGrid w:val="0"/>
        <w:spacing w:line="560" w:lineRule="exact"/>
      </w:pPr>
    </w:p>
    <w:p w14:paraId="501E18A2">
      <w:pPr>
        <w:tabs>
          <w:tab w:val="left" w:pos="6300"/>
        </w:tabs>
        <w:snapToGrid w:val="0"/>
        <w:spacing w:line="560" w:lineRule="exact"/>
      </w:pPr>
    </w:p>
    <w:p w14:paraId="6B1C28D4">
      <w:pPr>
        <w:tabs>
          <w:tab w:val="left" w:pos="6300"/>
        </w:tabs>
        <w:snapToGrid w:val="0"/>
        <w:spacing w:line="560" w:lineRule="exact"/>
      </w:pPr>
    </w:p>
    <w:p w14:paraId="18DB7D45">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14:paraId="5389E6F5">
      <w:pPr>
        <w:snapToGrid w:val="0"/>
        <w:spacing w:line="560" w:lineRule="exact"/>
        <w:ind w:firstLine="420" w:firstLineChars="200"/>
        <w:rPr>
          <w:bdr w:val="single" w:color="auto" w:sz="4" w:space="0"/>
        </w:rPr>
        <w:sectPr>
          <w:headerReference r:id="rId3" w:type="default"/>
          <w:pgSz w:w="11907" w:h="16840"/>
          <w:pgMar w:top="1418" w:right="1418" w:bottom="1418" w:left="1418" w:header="851" w:footer="992" w:gutter="0"/>
          <w:pgNumType w:fmt="numberInDash"/>
          <w:cols w:space="720" w:num="1"/>
          <w:docGrid w:linePitch="380" w:charSpace="-5735"/>
        </w:sectPr>
      </w:pPr>
    </w:p>
    <w:p w14:paraId="2CA117C6">
      <w:pPr>
        <w:pStyle w:val="3"/>
        <w:spacing w:before="0" w:after="0" w:line="560" w:lineRule="exact"/>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3</w:t>
      </w:r>
    </w:p>
    <w:p w14:paraId="64002D3F">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14:paraId="631DE883">
      <w:pPr>
        <w:pStyle w:val="5"/>
        <w:tabs>
          <w:tab w:val="left" w:pos="6300"/>
        </w:tabs>
        <w:snapToGrid w:val="0"/>
        <w:spacing w:line="560" w:lineRule="exact"/>
      </w:pPr>
    </w:p>
    <w:p w14:paraId="6FBB2A64">
      <w:pPr>
        <w:tabs>
          <w:tab w:val="left" w:pos="6300"/>
        </w:tabs>
        <w:snapToGrid w:val="0"/>
        <w:spacing w:line="560" w:lineRule="exact"/>
      </w:pPr>
      <w:r>
        <w:rPr>
          <w:rFonts w:hint="eastAsia" w:ascii="方正仿宋_GBK" w:eastAsia="方正仿宋_GBK"/>
          <w:sz w:val="32"/>
          <w:szCs w:val="32"/>
        </w:rPr>
        <w:t>项目名称：</w:t>
      </w:r>
      <w:r>
        <w:t>_______________</w:t>
      </w:r>
    </w:p>
    <w:p w14:paraId="340E4852">
      <w:pPr>
        <w:tabs>
          <w:tab w:val="left" w:pos="6300"/>
        </w:tabs>
        <w:snapToGrid w:val="0"/>
        <w:spacing w:line="560" w:lineRule="exact"/>
      </w:pPr>
      <w:r>
        <w:rPr>
          <w:rFonts w:hint="eastAsia" w:ascii="方正仿宋_GBK" w:eastAsia="方正仿宋_GBK"/>
          <w:sz w:val="32"/>
          <w:szCs w:val="32"/>
        </w:rPr>
        <w:t>日    期：</w:t>
      </w:r>
      <w:r>
        <w:t>_______________</w:t>
      </w:r>
    </w:p>
    <w:p w14:paraId="6B17913E">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14:paraId="56EE43DD">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14:paraId="55E86B85">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14:paraId="12D40286">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14:paraId="6F9FACCD">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14:paraId="01ADAC62">
      <w:pPr>
        <w:tabs>
          <w:tab w:val="left" w:pos="6300"/>
        </w:tabs>
        <w:snapToGrid w:val="0"/>
        <w:spacing w:line="560" w:lineRule="exact"/>
      </w:pPr>
    </w:p>
    <w:p w14:paraId="6BA4047C">
      <w:pPr>
        <w:tabs>
          <w:tab w:val="left" w:pos="6300"/>
        </w:tabs>
        <w:snapToGrid w:val="0"/>
        <w:spacing w:line="560" w:lineRule="exact"/>
      </w:pPr>
    </w:p>
    <w:p w14:paraId="7AEA5D5C">
      <w:pPr>
        <w:tabs>
          <w:tab w:val="left" w:pos="6300"/>
        </w:tabs>
        <w:snapToGrid w:val="0"/>
        <w:spacing w:line="560" w:lineRule="exact"/>
      </w:pPr>
      <w:r>
        <w:rPr>
          <w:rFonts w:hint="eastAsia" w:ascii="方正仿宋_GBK" w:eastAsia="方正仿宋_GBK"/>
          <w:sz w:val="32"/>
          <w:szCs w:val="32"/>
        </w:rPr>
        <w:t>被授权人签名：</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法定代表人签名：</w:t>
      </w:r>
    </w:p>
    <w:p w14:paraId="189ED377">
      <w:pPr>
        <w:tabs>
          <w:tab w:val="left" w:pos="6300"/>
        </w:tabs>
        <w:snapToGrid w:val="0"/>
        <w:spacing w:line="560" w:lineRule="exact"/>
        <w:rPr>
          <w:rFonts w:ascii="方正仿宋_GBK" w:eastAsia="方正仿宋_GBK"/>
          <w:sz w:val="32"/>
          <w:szCs w:val="32"/>
        </w:rPr>
      </w:pPr>
    </w:p>
    <w:p w14:paraId="0B9B1026">
      <w:pPr>
        <w:tabs>
          <w:tab w:val="left" w:pos="6300"/>
        </w:tabs>
        <w:snapToGrid w:val="0"/>
        <w:spacing w:line="560" w:lineRule="exact"/>
      </w:pPr>
    </w:p>
    <w:p w14:paraId="0C70BF45">
      <w:pPr>
        <w:snapToGrid w:val="0"/>
        <w:spacing w:line="560" w:lineRule="exact"/>
        <w:rPr>
          <w:rFonts w:ascii="方正仿宋_GBK" w:eastAsia="方正仿宋_GBK"/>
          <w:sz w:val="32"/>
          <w:szCs w:val="32"/>
        </w:rPr>
      </w:pPr>
      <w:r>
        <w:rPr>
          <w:rFonts w:hint="eastAsia" w:ascii="方正仿宋_GBK" w:eastAsia="方正仿宋_GBK"/>
          <w:sz w:val="32"/>
          <w:szCs w:val="32"/>
        </w:rPr>
        <w:t>供应商公章：</w:t>
      </w:r>
    </w:p>
    <w:p w14:paraId="7366CA2C">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2AD61A9E">
      <w:pPr>
        <w:pStyle w:val="3"/>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14:paraId="25907F45">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0EE6B17D">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4</w:t>
      </w:r>
    </w:p>
    <w:p w14:paraId="12F6B9CB">
      <w:pPr>
        <w:tabs>
          <w:tab w:val="left" w:pos="6300"/>
        </w:tabs>
        <w:snapToGrid w:val="0"/>
        <w:spacing w:line="560" w:lineRule="atLeast"/>
        <w:jc w:val="center"/>
        <w:outlineLvl w:val="0"/>
        <w:rPr>
          <w:rFonts w:eastAsia="黑体"/>
          <w:sz w:val="32"/>
        </w:rPr>
      </w:pPr>
      <w:r>
        <w:rPr>
          <w:rFonts w:hint="eastAsia" w:eastAsia="黑体"/>
          <w:sz w:val="32"/>
        </w:rPr>
        <w:t>诚信声明（格式）</w:t>
      </w:r>
    </w:p>
    <w:p w14:paraId="546B94ED">
      <w:pPr>
        <w:snapToGrid w:val="0"/>
        <w:spacing w:line="560" w:lineRule="atLeast"/>
        <w:rPr>
          <w:b/>
          <w:bdr w:val="single" w:color="auto" w:sz="4" w:space="0"/>
        </w:rPr>
      </w:pPr>
    </w:p>
    <w:p w14:paraId="0F4EACD0">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78A6DA9C">
      <w:pPr>
        <w:tabs>
          <w:tab w:val="left" w:pos="6300"/>
        </w:tabs>
        <w:snapToGrid w:val="0"/>
        <w:spacing w:line="560" w:lineRule="atLeast"/>
        <w:rPr>
          <w:rFonts w:ascii="宋体" w:hAnsi="宋体"/>
          <w:szCs w:val="28"/>
        </w:rPr>
      </w:pPr>
    </w:p>
    <w:p w14:paraId="06737E7B">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751B2D0C">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1976968C">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14:paraId="6B118A49">
      <w:pPr>
        <w:tabs>
          <w:tab w:val="left" w:pos="6300"/>
        </w:tabs>
        <w:snapToGrid w:val="0"/>
        <w:spacing w:line="500" w:lineRule="exact"/>
        <w:jc w:val="center"/>
        <w:rPr>
          <w:rFonts w:ascii="宋体" w:hAnsi="宋体"/>
          <w:szCs w:val="28"/>
        </w:rPr>
      </w:pPr>
    </w:p>
    <w:p w14:paraId="0E7F2CFE">
      <w:pPr>
        <w:tabs>
          <w:tab w:val="left" w:pos="6300"/>
        </w:tabs>
        <w:snapToGrid w:val="0"/>
        <w:spacing w:line="500" w:lineRule="exact"/>
        <w:jc w:val="center"/>
        <w:rPr>
          <w:rFonts w:ascii="宋体" w:hAnsi="宋体"/>
          <w:szCs w:val="28"/>
        </w:rPr>
      </w:pPr>
    </w:p>
    <w:p w14:paraId="5138DC72">
      <w:pPr>
        <w:tabs>
          <w:tab w:val="left" w:pos="6300"/>
        </w:tabs>
        <w:snapToGrid w:val="0"/>
        <w:spacing w:line="500" w:lineRule="exact"/>
        <w:rPr>
          <w:rFonts w:ascii="宋体" w:hAnsi="宋体"/>
          <w:szCs w:val="28"/>
        </w:rPr>
      </w:pPr>
    </w:p>
    <w:p w14:paraId="1945311A">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14:paraId="5933B322">
      <w:pPr>
        <w:rPr>
          <w:rFonts w:ascii="宋体" w:hAnsi="宋体"/>
          <w:szCs w:val="28"/>
        </w:rPr>
      </w:pPr>
    </w:p>
    <w:p w14:paraId="1D6473F5">
      <w:pPr>
        <w:tabs>
          <w:tab w:val="left" w:pos="6300"/>
        </w:tabs>
        <w:snapToGrid w:val="0"/>
        <w:spacing w:line="560" w:lineRule="exact"/>
        <w:jc w:val="center"/>
        <w:outlineLvl w:val="0"/>
      </w:pPr>
    </w:p>
    <w:p w14:paraId="4B1D9BD5">
      <w:pPr>
        <w:tabs>
          <w:tab w:val="left" w:pos="6300"/>
        </w:tabs>
        <w:snapToGrid w:val="0"/>
        <w:spacing w:line="560" w:lineRule="exact"/>
        <w:ind w:firstLine="570"/>
      </w:pPr>
    </w:p>
    <w:p w14:paraId="3E628032">
      <w:pPr>
        <w:spacing w:line="560" w:lineRule="exact"/>
        <w:jc w:val="left"/>
      </w:pPr>
    </w:p>
    <w:p w14:paraId="5A21E2DF">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0F777BA4">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165CEA29">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2D90AFF4">
      <w:pPr>
        <w:keepNext w:val="0"/>
        <w:keepLines w:val="0"/>
        <w:widowControl/>
        <w:numPr>
          <w:ilvl w:val="0"/>
          <w:numId w:val="0"/>
        </w:numPr>
        <w:suppressLineNumbers w:val="0"/>
        <w:jc w:val="both"/>
        <w:rPr>
          <w:rFonts w:hint="eastAsia" w:ascii="方正仿宋_GBK" w:hAnsi="方正仿宋_GBK" w:eastAsia="方正仿宋_GBK" w:cs="方正仿宋_GBK"/>
          <w:color w:val="000000"/>
          <w:kern w:val="0"/>
          <w:sz w:val="32"/>
          <w:szCs w:val="32"/>
          <w:u w:val="none"/>
          <w:lang w:val="en-US" w:eastAsia="zh-CN" w:bidi="ar"/>
        </w:rPr>
      </w:pPr>
    </w:p>
    <w:sectPr>
      <w:pgSz w:w="11906" w:h="16838"/>
      <w:pgMar w:top="1440" w:right="1264" w:bottom="1440" w:left="1599"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B785">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hZDU5MzdiZjM0YjQ3NDg4MWJmOGNiYzg4MWY1OWIifQ=="/>
  </w:docVars>
  <w:rsids>
    <w:rsidRoot w:val="14243CFB"/>
    <w:rsid w:val="0371696F"/>
    <w:rsid w:val="03EC2D9B"/>
    <w:rsid w:val="07724C7D"/>
    <w:rsid w:val="09C36D6F"/>
    <w:rsid w:val="0B142DB8"/>
    <w:rsid w:val="0DA767BE"/>
    <w:rsid w:val="0FB1412B"/>
    <w:rsid w:val="11050897"/>
    <w:rsid w:val="115C2E09"/>
    <w:rsid w:val="12212FDD"/>
    <w:rsid w:val="13801391"/>
    <w:rsid w:val="14243CFB"/>
    <w:rsid w:val="1AB81C71"/>
    <w:rsid w:val="1AB85FA4"/>
    <w:rsid w:val="1AFB4933"/>
    <w:rsid w:val="1D2233E6"/>
    <w:rsid w:val="1E5E26C5"/>
    <w:rsid w:val="230205FF"/>
    <w:rsid w:val="26241F6C"/>
    <w:rsid w:val="2EB51C1E"/>
    <w:rsid w:val="2EFE65B6"/>
    <w:rsid w:val="2F366366"/>
    <w:rsid w:val="31AC484A"/>
    <w:rsid w:val="376023EE"/>
    <w:rsid w:val="3AD95D55"/>
    <w:rsid w:val="3C0E2E1F"/>
    <w:rsid w:val="3C704B7B"/>
    <w:rsid w:val="42612D62"/>
    <w:rsid w:val="44D315A3"/>
    <w:rsid w:val="451A1430"/>
    <w:rsid w:val="47411B9B"/>
    <w:rsid w:val="4AC52841"/>
    <w:rsid w:val="4BE5614F"/>
    <w:rsid w:val="4DBF60E7"/>
    <w:rsid w:val="50855E43"/>
    <w:rsid w:val="5128096C"/>
    <w:rsid w:val="528D796E"/>
    <w:rsid w:val="53181797"/>
    <w:rsid w:val="537A77FC"/>
    <w:rsid w:val="540E5F6E"/>
    <w:rsid w:val="54C942A2"/>
    <w:rsid w:val="550C7A95"/>
    <w:rsid w:val="55161324"/>
    <w:rsid w:val="555671C3"/>
    <w:rsid w:val="566D14D9"/>
    <w:rsid w:val="56CE4F04"/>
    <w:rsid w:val="5D5C3BE5"/>
    <w:rsid w:val="5FE404D4"/>
    <w:rsid w:val="65165479"/>
    <w:rsid w:val="68E234CB"/>
    <w:rsid w:val="6DC67E26"/>
    <w:rsid w:val="70EB3C4B"/>
    <w:rsid w:val="71B86C11"/>
    <w:rsid w:val="74EB77A9"/>
    <w:rsid w:val="76E33826"/>
    <w:rsid w:val="7D99109C"/>
    <w:rsid w:val="7ED37897"/>
    <w:rsid w:val="7F0B2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4">
    <w:name w:val="Plain Text"/>
    <w:basedOn w:val="1"/>
    <w:qFormat/>
    <w:uiPriority w:val="0"/>
    <w:rPr>
      <w:rFonts w:ascii="宋体" w:hAnsi="Courier New"/>
    </w:rPr>
  </w:style>
  <w:style w:type="paragraph" w:styleId="5">
    <w:name w:val="Date"/>
    <w:basedOn w:val="1"/>
    <w:next w:val="1"/>
    <w:qFormat/>
    <w:uiPriority w:val="0"/>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itle"/>
    <w:next w:val="1"/>
    <w:qFormat/>
    <w:uiPriority w:val="0"/>
    <w:pPr>
      <w:widowControl w:val="0"/>
      <w:spacing w:before="240" w:after="60"/>
      <w:jc w:val="center"/>
      <w:outlineLvl w:val="0"/>
    </w:pPr>
    <w:rPr>
      <w:rFonts w:ascii="Cambria" w:hAnsi="Cambria" w:eastAsia="宋体" w:cstheme="minorBidi"/>
      <w:b/>
      <w:kern w:val="2"/>
      <w:sz w:val="21"/>
      <w:szCs w:val="24"/>
      <w:lang w:val="en-US" w:eastAsia="zh-CN" w:bidi="ar-SA"/>
    </w:rPr>
  </w:style>
  <w:style w:type="paragraph" w:styleId="8">
    <w:name w:val="Body Text First Indent"/>
    <w:basedOn w:val="1"/>
    <w:qFormat/>
    <w:uiPriority w:val="0"/>
    <w:pPr>
      <w:widowControl w:val="0"/>
      <w:spacing w:line="360" w:lineRule="auto"/>
      <w:ind w:firstLine="420"/>
      <w:jc w:val="both"/>
    </w:pPr>
    <w:rPr>
      <w:rFonts w:ascii="宋体" w:hAnsiTheme="minorHAnsi" w:eastAsiaTheme="minorEastAsia" w:cstheme="minorBidi"/>
      <w:kern w:val="2"/>
      <w:sz w:val="24"/>
      <w:szCs w:val="24"/>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1"/>
    <w:basedOn w:val="1"/>
    <w:next w:val="4"/>
    <w:qFormat/>
    <w:uiPriority w:val="0"/>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2829</Words>
  <Characters>3074</Characters>
  <Lines>1</Lines>
  <Paragraphs>1</Paragraphs>
  <TotalTime>4</TotalTime>
  <ScaleCrop>false</ScaleCrop>
  <LinksUpToDate>false</LinksUpToDate>
  <CharactersWithSpaces>3296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2022-07-19T01:41:00Z</dcterms:created>
  <dc:creator>Administrator</dc:creator>
  <cp:lastModifiedBy>王巧灵</cp:lastModifiedBy>
  <cp:lastPrinted>2022-07-19T09:09:00Z</cp:lastPrinted>
  <dcterms:modified xsi:type="dcterms:W3CDTF">2025-07-17T09:07:25Z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A29A339253D14F61A0A2A1832CD2A56F_13</vt:lpwstr>
  </property>
  <property fmtid="{D5CDD505-2E9C-101B-9397-08002B2CF9AE}" pid="4" name="KSOTemplateDocerSaveRecord">
    <vt:lpwstr>eyJoZGlkIjoiODgzMzMyMTdjODZmNThlMjZiZGVhZGZmYjVhNGQ4ZTUiLCJ1c2VySWQiOiIzNDE2Nzc3NTcifQ==</vt:lpwstr>
  </property>
</Properties>
</file>